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3F000" w14:textId="35529292" w:rsidR="0040143D" w:rsidRPr="00BC79C7" w:rsidRDefault="0040143D" w:rsidP="0040143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Meeting #9</w:t>
      </w:r>
      <w:r w:rsidR="00AD3CB4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ab/>
      </w:r>
      <w:r w:rsidR="000C112B">
        <w:rPr>
          <w:rFonts w:ascii="Arial" w:hAnsi="Arial" w:cs="Arial"/>
          <w:b/>
          <w:bCs/>
          <w:sz w:val="28"/>
        </w:rPr>
        <w:t xml:space="preserve">                                       </w:t>
      </w:r>
      <w:r w:rsidR="000C112B">
        <w:rPr>
          <w:rFonts w:ascii="Arial" w:hAnsi="Arial" w:cs="Arial"/>
          <w:b/>
          <w:bCs/>
          <w:sz w:val="28"/>
        </w:rPr>
        <w:tab/>
      </w:r>
      <w:r w:rsidR="00DB7F5A">
        <w:rPr>
          <w:rFonts w:ascii="Arial" w:hAnsi="Arial" w:cs="Arial"/>
          <w:b/>
          <w:bCs/>
          <w:sz w:val="28"/>
        </w:rPr>
        <w:t xml:space="preserve"> </w:t>
      </w:r>
      <w:r w:rsidR="000C112B">
        <w:rPr>
          <w:rFonts w:ascii="Arial" w:hAnsi="Arial" w:cs="Arial"/>
          <w:b/>
          <w:bCs/>
          <w:sz w:val="28"/>
        </w:rPr>
        <w:t xml:space="preserve">  </w:t>
      </w:r>
      <w:r w:rsidR="00DB7F5A">
        <w:rPr>
          <w:rFonts w:ascii="Arial" w:hAnsi="Arial" w:cs="Arial"/>
          <w:b/>
          <w:bCs/>
          <w:sz w:val="28"/>
        </w:rPr>
        <w:t xml:space="preserve"> </w:t>
      </w:r>
      <w:bookmarkStart w:id="0" w:name="_Hlk521603969"/>
      <w:r w:rsidR="00AD3CB4" w:rsidRPr="00AD3CB4">
        <w:rPr>
          <w:rFonts w:ascii="Arial" w:hAnsi="Arial" w:cs="Arial"/>
          <w:b/>
          <w:bCs/>
          <w:sz w:val="28"/>
        </w:rPr>
        <w:t>R1-1808992</w:t>
      </w:r>
      <w:bookmarkEnd w:id="0"/>
    </w:p>
    <w:p w14:paraId="0FCAFB9B" w14:textId="77777777" w:rsidR="00AD3CB4" w:rsidRPr="009513AC" w:rsidRDefault="00AD3CB4" w:rsidP="00AD3CB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6B8689BF" w14:textId="77777777" w:rsidR="00DB7F5A" w:rsidRPr="001B0325" w:rsidRDefault="00DB7F5A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1D7A886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F638B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4A2F31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017D7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713632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EB80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61F79D5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74D17F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39C9B5E" w14:textId="77777777"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8D4F9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A015A09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7F2E6" w14:textId="77777777" w:rsidR="001E41F3" w:rsidRPr="00DB7F5A" w:rsidRDefault="00DB7F5A">
            <w:pPr>
              <w:pStyle w:val="CRCoverPage"/>
              <w:spacing w:after="0"/>
              <w:rPr>
                <w:noProof/>
                <w:color w:val="FF0000"/>
              </w:rPr>
            </w:pPr>
            <w:r w:rsidRPr="00DB7F5A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D5E1D0C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8D37BD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A045EC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A736BE" w14:textId="2F054C23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C47354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FF7CB3">
              <w:rPr>
                <w:b/>
                <w:noProof/>
                <w:sz w:val="32"/>
                <w:lang w:eastAsia="zh-CN"/>
              </w:rPr>
              <w:t>7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B3F2F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BDFDB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27179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AEE3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6B37C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DE56F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45F795A4" w14:textId="77777777">
        <w:tc>
          <w:tcPr>
            <w:tcW w:w="9641" w:type="dxa"/>
            <w:gridSpan w:val="9"/>
          </w:tcPr>
          <w:p w14:paraId="56423BA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486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0EED91FF" w14:textId="77777777" w:rsidTr="00A7671C">
        <w:tc>
          <w:tcPr>
            <w:tcW w:w="2835" w:type="dxa"/>
          </w:tcPr>
          <w:p w14:paraId="68261D9A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4A96E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CF73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4A8CA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FC8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D131118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83A7F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EF436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B9AC7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06A4F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1C17216B" w14:textId="77777777">
        <w:tc>
          <w:tcPr>
            <w:tcW w:w="9641" w:type="dxa"/>
            <w:gridSpan w:val="11"/>
          </w:tcPr>
          <w:p w14:paraId="58F3CD4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E0B80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69CCAE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DFBA2" w14:textId="77777777" w:rsidR="001E41F3" w:rsidRPr="00BD4544" w:rsidRDefault="008D4F97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2" w:name="_Hlk521603978"/>
            <w:r w:rsidRPr="008D4F97">
              <w:rPr>
                <w:noProof/>
              </w:rPr>
              <w:t>draft CR on NPRS enhancement</w:t>
            </w:r>
            <w:bookmarkEnd w:id="2"/>
          </w:p>
        </w:tc>
      </w:tr>
      <w:tr w:rsidR="001E41F3" w:rsidRPr="00290CB4" w14:paraId="422DC0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4F36B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BF35C6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E28B2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16A10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BED61C" w14:textId="77777777" w:rsidR="001E41F3" w:rsidRPr="00290CB4" w:rsidRDefault="00DB7F5A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290CB4" w14:paraId="0FE044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42D02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80337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7F9001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BB3A1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AF8B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778E8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7854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101902" w14:textId="48A12D48" w:rsidR="001E41F3" w:rsidRPr="002068EC" w:rsidRDefault="009B3F2F" w:rsidP="003959B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 w:rsidRPr="009B3F2F">
              <w:rPr>
                <w:lang w:val="es-ES"/>
              </w:rPr>
              <w:t>NB_IOTenh</w:t>
            </w:r>
            <w:proofErr w:type="spellEnd"/>
            <w:r w:rsidRPr="009B3F2F">
              <w:rPr>
                <w:lang w:val="es-E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9C2802" w14:textId="77777777"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9B7BD1A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E6943" w14:textId="5C9EAE86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E01577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E01577">
              <w:rPr>
                <w:noProof/>
                <w:lang w:eastAsia="zh-CN"/>
              </w:rPr>
              <w:t>0</w:t>
            </w:r>
            <w:r w:rsidR="00AD3CB4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AD3CB4">
              <w:rPr>
                <w:noProof/>
                <w:lang w:eastAsia="zh-CN"/>
              </w:rPr>
              <w:t>10</w:t>
            </w:r>
          </w:p>
        </w:tc>
      </w:tr>
      <w:tr w:rsidR="001E41F3" w:rsidRPr="00290CB4" w14:paraId="7A7D7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7CB3C4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F095F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AD80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C37361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3338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135B7D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C00AE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6F48D1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34927EF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8DC388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30BBB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FE35AA">
              <w:rPr>
                <w:noProof/>
              </w:rPr>
              <w:t>4</w:t>
            </w:r>
          </w:p>
        </w:tc>
      </w:tr>
      <w:tr w:rsidR="001E41F3" w:rsidRPr="00290CB4" w14:paraId="364A3EE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966DB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4B98B1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62D8130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C1C25D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3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578DD0F3" w14:textId="77777777">
        <w:tc>
          <w:tcPr>
            <w:tcW w:w="1843" w:type="dxa"/>
          </w:tcPr>
          <w:p w14:paraId="595C0AF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B1CB663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6E3C1F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5E413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B9905" w14:textId="77777777" w:rsidR="008227F6" w:rsidRDefault="008227F6" w:rsidP="00822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RAN1#93 NPRS enhancements were agreed as follows.</w:t>
            </w:r>
          </w:p>
          <w:p w14:paraId="280A5937" w14:textId="77777777" w:rsidR="008227F6" w:rsidRDefault="008227F6" w:rsidP="008227F6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8227F6">
              <w:rPr>
                <w:noProof/>
              </w:rPr>
              <w:t>For the guard band and standalone cases, the UE is not expected to be configured with a legacy NPRS sequence</w:t>
            </w:r>
          </w:p>
          <w:p w14:paraId="300D6B52" w14:textId="77777777" w:rsidR="008227F6" w:rsidRDefault="008227F6" w:rsidP="008227F6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8227F6">
              <w:rPr>
                <w:noProof/>
              </w:rPr>
              <w:t>For the in-band case, the new NPRS sequence that is designed can operate in a backward compatible manner with the Rel-14 NPRS by configuration</w:t>
            </w:r>
          </w:p>
          <w:p w14:paraId="0DDB088D" w14:textId="77777777" w:rsidR="00025D6F" w:rsidRPr="00E93803" w:rsidRDefault="008227F6" w:rsidP="00822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addtion, new NPRS seqence is introcuded. To captured the agreed new NPRS seqence and configurations in the spec is necessary. </w:t>
            </w:r>
          </w:p>
        </w:tc>
      </w:tr>
      <w:tr w:rsidR="001E41F3" w:rsidRPr="00290CB4" w14:paraId="5672B1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9427A6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C1D0C3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29A44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845D1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B25EA" w14:textId="5C7962A1" w:rsidR="001B0325" w:rsidRPr="00F21039" w:rsidRDefault="008227F6" w:rsidP="008310AE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To captured the agreed new NPRS seqence </w:t>
            </w:r>
            <w:bookmarkStart w:id="4" w:name="_GoBack"/>
            <w:bookmarkEnd w:id="4"/>
            <w:r>
              <w:rPr>
                <w:noProof/>
              </w:rPr>
              <w:t xml:space="preserve">the spec. </w:t>
            </w:r>
          </w:p>
        </w:tc>
      </w:tr>
      <w:tr w:rsidR="001E41F3" w:rsidRPr="00290CB4" w14:paraId="3F33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BCE1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5EFD9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33CF9FF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56FFF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64847" w14:textId="77777777" w:rsidR="004321E5" w:rsidRPr="00BE3FA9" w:rsidRDefault="008227F6" w:rsidP="008310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NPRS </w:t>
            </w:r>
            <w:proofErr w:type="spellStart"/>
            <w:r>
              <w:rPr>
                <w:lang w:eastAsia="zh-CN"/>
              </w:rPr>
              <w:t>seqnece</w:t>
            </w:r>
            <w:proofErr w:type="spellEnd"/>
            <w:r>
              <w:rPr>
                <w:lang w:eastAsia="zh-CN"/>
              </w:rPr>
              <w:t xml:space="preserve"> design cannot be implemented. </w:t>
            </w:r>
          </w:p>
        </w:tc>
      </w:tr>
      <w:tr w:rsidR="003A28D9" w:rsidRPr="00290CB4" w14:paraId="3480385B" w14:textId="77777777">
        <w:tc>
          <w:tcPr>
            <w:tcW w:w="2268" w:type="dxa"/>
            <w:gridSpan w:val="2"/>
          </w:tcPr>
          <w:p w14:paraId="3F37935A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1CC361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0CAEC95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EC5EA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B6718" w14:textId="77777777" w:rsidR="003A28D9" w:rsidRPr="00290CB4" w:rsidRDefault="008D4F97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10.2.6A.2</w:t>
            </w:r>
          </w:p>
        </w:tc>
      </w:tr>
      <w:tr w:rsidR="003A28D9" w:rsidRPr="00290CB4" w14:paraId="090FB0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6E6B8A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066AC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8A0C3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F893D1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B85A8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33182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E9F19E6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B165F2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311A9B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6B07D4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8425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E16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C101AE4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E44AE8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4A0A33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C567FD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32E87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ADCF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F4C3F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0E34B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3ADA250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0740A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05889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13C6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5679C8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8ADA02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000DB2E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ADD53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998EF2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1AAC21C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62636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49F9D" w14:textId="77777777"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89DA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E582CF" w14:textId="77777777" w:rsidR="009B3F2F" w:rsidRDefault="00B1088E" w:rsidP="009B3F2F">
      <w:pPr>
        <w:pStyle w:val="Heading3"/>
      </w:pPr>
      <w:bookmarkStart w:id="5" w:name="_Toc446967021"/>
      <w:r>
        <w:rPr>
          <w:color w:val="FF0000"/>
          <w:szCs w:val="28"/>
          <w:lang w:eastAsia="zh-CN"/>
        </w:rPr>
        <w:br w:type="page"/>
      </w:r>
      <w:bookmarkEnd w:id="5"/>
    </w:p>
    <w:p w14:paraId="0CD8294D" w14:textId="77777777" w:rsidR="005168E4" w:rsidRDefault="005168E4" w:rsidP="005168E4">
      <w:pPr>
        <w:pStyle w:val="Heading5"/>
        <w:jc w:val="center"/>
        <w:rPr>
          <w:color w:val="FF0000"/>
          <w:szCs w:val="28"/>
          <w:lang w:eastAsia="zh-CN"/>
        </w:rPr>
      </w:pPr>
      <w:r w:rsidRPr="005168E4">
        <w:rPr>
          <w:color w:val="FF0000"/>
          <w:szCs w:val="28"/>
          <w:lang w:eastAsia="zh-CN"/>
        </w:rPr>
        <w:lastRenderedPageBreak/>
        <w:t>&lt;Unchanged parts are omitted&gt;</w:t>
      </w:r>
    </w:p>
    <w:p w14:paraId="5BB52A3D" w14:textId="77777777" w:rsidR="00BF1764" w:rsidRDefault="00BF1764" w:rsidP="00BF1764">
      <w:pPr>
        <w:pStyle w:val="Heading4"/>
      </w:pPr>
      <w:r>
        <w:t>10.2.6A.2</w:t>
      </w:r>
      <w:r>
        <w:tab/>
        <w:t>Mapping to resource elements</w:t>
      </w:r>
    </w:p>
    <w:p w14:paraId="50225A00" w14:textId="77777777" w:rsidR="00BF1764" w:rsidRDefault="00BF1764" w:rsidP="00BF1764">
      <w:r>
        <w:t xml:space="preserve">For an NB-IoT carrier which is configured for NPRS </w:t>
      </w:r>
      <w:del w:id="6" w:author="Author">
        <w:r w:rsidDel="00BF1764">
          <w:delText>tranmission</w:delText>
        </w:r>
      </w:del>
      <w:ins w:id="7" w:author="Author">
        <w:r>
          <w:t>transmission</w:t>
        </w:r>
      </w:ins>
      <w:r>
        <w:t xml:space="preserve">, the reference signal sequence </w:t>
      </w:r>
      <w:r w:rsidRPr="004214A0">
        <w:rPr>
          <w:rFonts w:eastAsia="Times New Roman"/>
          <w:position w:val="-14"/>
        </w:rPr>
        <w:object w:dxaOrig="660" w:dyaOrig="345" w14:anchorId="0BE9CB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17.3pt" o:ole="">
            <v:imagedata r:id="rId13" o:title=""/>
          </v:shape>
          <o:OLEObject Type="Embed" ProgID="Equation.3" ShapeID="_x0000_i1025" DrawAspect="Content" ObjectID="_1595347245" r:id="rId14"/>
        </w:object>
      </w:r>
      <w:r>
        <w:t xml:space="preserve"> shall be mapped to complex-valued modulation symbols </w:t>
      </w:r>
      <w:r w:rsidRPr="004214A0">
        <w:rPr>
          <w:rFonts w:eastAsia="Times New Roman"/>
          <w:position w:val="-14"/>
        </w:rPr>
        <w:object w:dxaOrig="405" w:dyaOrig="375" w14:anchorId="23284733">
          <v:shape id="_x0000_i1026" type="#_x0000_t75" style="width:20.15pt;height:19pt" o:ole="">
            <v:imagedata r:id="rId15" o:title=""/>
          </v:shape>
          <o:OLEObject Type="Embed" ProgID="Equation.3" ShapeID="_x0000_i1026" DrawAspect="Content" ObjectID="_1595347246" r:id="rId16"/>
        </w:object>
      </w:r>
      <w:r>
        <w:t xml:space="preserve"> used as reference signal for antenna port </w:t>
      </w:r>
      <w:r w:rsidRPr="004214A0">
        <w:rPr>
          <w:rFonts w:eastAsia="Times New Roman"/>
          <w:position w:val="-10"/>
        </w:rPr>
        <w:object w:dxaOrig="195" w:dyaOrig="240" w14:anchorId="5B40324A">
          <v:shape id="_x0000_i1027" type="#_x0000_t75" style="width:9.8pt;height:12.1pt" o:ole="">
            <v:imagedata r:id="rId17" o:title=""/>
          </v:shape>
          <o:OLEObject Type="Embed" ProgID="Equation.3" ShapeID="_x0000_i1027" DrawAspect="Content" ObjectID="_1595347247" r:id="rId18"/>
        </w:object>
      </w:r>
      <w:r>
        <w:t xml:space="preserve"> in slot </w:t>
      </w:r>
      <w:r w:rsidRPr="004214A0">
        <w:rPr>
          <w:rFonts w:eastAsia="Times New Roman"/>
          <w:position w:val="-10"/>
        </w:rPr>
        <w:object w:dxaOrig="240" w:dyaOrig="300" w14:anchorId="48D614A7">
          <v:shape id="_x0000_i1028" type="#_x0000_t75" style="width:12.1pt;height:15pt" o:ole="">
            <v:imagedata r:id="rId19" o:title=""/>
          </v:shape>
          <o:OLEObject Type="Embed" ProgID="Equation.3" ShapeID="_x0000_i1028" DrawAspect="Content" ObjectID="_1595347248" r:id="rId20"/>
        </w:object>
      </w:r>
      <w:r>
        <w:t xml:space="preserve"> according to </w:t>
      </w:r>
    </w:p>
    <w:p w14:paraId="50E384CC" w14:textId="77777777" w:rsidR="00BF1764" w:rsidRDefault="00BF1764" w:rsidP="00BF1764">
      <w:pPr>
        <w:pStyle w:val="EQ"/>
        <w:jc w:val="center"/>
      </w:pPr>
      <w:r w:rsidRPr="004214A0">
        <w:rPr>
          <w:rFonts w:eastAsia="Times New Roman"/>
          <w:position w:val="-14"/>
        </w:rPr>
        <w:object w:dxaOrig="1275" w:dyaOrig="375" w14:anchorId="57E3275A">
          <v:shape id="_x0000_i1029" type="#_x0000_t75" style="width:63.95pt;height:19pt" o:ole="">
            <v:imagedata r:id="rId21" o:title=""/>
          </v:shape>
          <o:OLEObject Type="Embed" ProgID="Equation.3" ShapeID="_x0000_i1029" DrawAspect="Content" ObjectID="_1595347249" r:id="rId22"/>
        </w:object>
      </w:r>
      <w:ins w:id="8" w:author="Author">
        <w:del w:id="9" w:author="Author">
          <w:r w:rsidDel="003F3CE3">
            <w:rPr>
              <w:rFonts w:eastAsia="Times New Roman"/>
            </w:rPr>
            <w:delText>,</w:delText>
          </w:r>
        </w:del>
      </w:ins>
    </w:p>
    <w:p w14:paraId="436A54EF" w14:textId="6A5300E4" w:rsidR="00BF1764" w:rsidRPr="00BF1764" w:rsidRDefault="00BF1764" w:rsidP="00BF1764">
      <w:pPr>
        <w:rPr>
          <w:ins w:id="10" w:author="Author"/>
        </w:rPr>
      </w:pPr>
      <w:ins w:id="11" w:author="Author">
        <w:r w:rsidRPr="00BF1764">
          <w:t xml:space="preserve">if NPRS transmission is configured by higher layer via </w:t>
        </w:r>
        <w:proofErr w:type="spellStart"/>
        <w:r w:rsidR="00E03129" w:rsidRPr="002F5879">
          <w:rPr>
            <w:i/>
            <w:snapToGrid w:val="0"/>
          </w:rPr>
          <w:t>nprsInfo</w:t>
        </w:r>
        <w:proofErr w:type="spellEnd"/>
        <w:r w:rsidRPr="00BF1764">
          <w:rPr>
            <w:i/>
          </w:rPr>
          <w:t xml:space="preserve">, </w:t>
        </w:r>
        <w:r w:rsidR="00E03129" w:rsidRPr="002F5879">
          <w:t>and</w:t>
        </w:r>
        <w:r w:rsidRPr="00BF1764">
          <w:t xml:space="preserve"> according to </w:t>
        </w:r>
      </w:ins>
    </w:p>
    <w:p w14:paraId="614931F5" w14:textId="68368262" w:rsidR="00F75243" w:rsidRDefault="0002531B" w:rsidP="005C5D4B">
      <w:pPr>
        <w:jc w:val="center"/>
        <w:rPr>
          <w:ins w:id="12" w:author="Author"/>
          <w:i/>
          <w:lang w:val="en-US"/>
        </w:rPr>
      </w:pPr>
      <m:oMath>
        <m:sSubSup>
          <m:sSubSupPr>
            <m:ctrlPr>
              <w:ins w:id="13" w:author="Author">
                <w:rPr>
                  <w:rFonts w:ascii="Cambria Math" w:hAnsi="Cambria Math"/>
                  <w:i/>
                  <w:lang w:val="en-US"/>
                </w:rPr>
              </w:ins>
            </m:ctrlPr>
          </m:sSubSupPr>
          <m:e>
            <m:r>
              <w:ins w:id="14" w:author="Author">
                <w:rPr>
                  <w:rFonts w:ascii="Cambria Math" w:hAnsi="Cambria Math"/>
                  <w:lang w:val="en-US"/>
                </w:rPr>
                <m:t>a</m:t>
              </w:ins>
            </m:r>
          </m:e>
          <m:sub>
            <m:r>
              <w:ins w:id="15" w:author="Author">
                <w:rPr>
                  <w:rFonts w:ascii="Cambria Math" w:hAnsi="Cambria Math"/>
                  <w:lang w:val="en-US"/>
                </w:rPr>
                <m:t>k,l</m:t>
              </w:ins>
            </m:r>
          </m:sub>
          <m:sup>
            <m:r>
              <w:ins w:id="16" w:author="Author">
                <w:rPr>
                  <w:rFonts w:ascii="Cambria Math" w:hAnsi="Cambria Math"/>
                  <w:lang w:val="en-US"/>
                </w:rPr>
                <m:t>(p)</m:t>
              </w:ins>
            </m:r>
          </m:sup>
        </m:sSubSup>
        <m:r>
          <w:ins w:id="17" w:author="Author">
            <w:rPr>
              <w:rFonts w:ascii="Cambria Math" w:hAnsi="Cambria Math"/>
              <w:lang w:val="en-US"/>
            </w:rPr>
            <m:t>=</m:t>
          </w:ins>
        </m:r>
        <m:sSub>
          <m:sSubPr>
            <m:ctrlPr>
              <w:ins w:id="18" w:author="Author">
                <w:rPr>
                  <w:rFonts w:ascii="Cambria Math" w:hAnsi="Cambria Math"/>
                  <w:i/>
                  <w:lang w:val="en-US"/>
                </w:rPr>
              </w:ins>
            </m:ctrlPr>
          </m:sSubPr>
          <m:e>
            <m:r>
              <w:ins w:id="19" w:author="Author">
                <w:rPr>
                  <w:rFonts w:ascii="Cambria Math" w:hAnsi="Cambria Math"/>
                  <w:lang w:val="en-US"/>
                </w:rPr>
                <m:t>r</m:t>
              </w:ins>
            </m:r>
          </m:e>
          <m:sub>
            <m:r>
              <w:ins w:id="20" w:author="Author">
                <w:rPr>
                  <w:rFonts w:ascii="Cambria Math" w:hAnsi="Cambria Math"/>
                  <w:lang w:val="en-US"/>
                </w:rPr>
                <m:t>l,</m:t>
              </w:ins>
            </m:r>
            <m:sSub>
              <m:sSubPr>
                <m:ctrlPr>
                  <w:ins w:id="21" w:author="Author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22" w:author="Author">
                    <w:rPr>
                      <w:rFonts w:ascii="Cambria Math" w:hAnsi="Cambria Math"/>
                      <w:lang w:val="en-US"/>
                    </w:rPr>
                    <m:t>n</m:t>
                  </w:ins>
                </m:r>
              </m:e>
              <m:sub>
                <m:r>
                  <w:ins w:id="23" w:author="Author">
                    <w:rPr>
                      <w:rFonts w:ascii="Cambria Math" w:hAnsi="Cambria Math"/>
                      <w:lang w:val="en-US"/>
                    </w:rPr>
                    <m:t>s</m:t>
                  </w:ins>
                </m:r>
              </m:sub>
            </m:sSub>
          </m:sub>
        </m:sSub>
        <m:d>
          <m:dPr>
            <m:ctrlPr>
              <w:ins w:id="24" w:author="Author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d>
              <m:dPr>
                <m:ctrlPr>
                  <w:ins w:id="25" w:author="Author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26" w:author="Author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27" w:author="Author">
                        <w:rPr>
                          <w:rFonts w:ascii="Cambria Math" w:hAnsi="Cambria Math"/>
                          <w:lang w:val="en-US"/>
                        </w:rPr>
                        <m:t>m</m:t>
                      </w:ins>
                    </m:r>
                  </m:e>
                  <m:sup>
                    <m:r>
                      <w:ins w:id="28" w:author="Author">
                        <w:rPr>
                          <w:rFonts w:ascii="Cambria Math" w:hAnsi="Cambria Math" w:hint="eastAsia"/>
                          <w:lang w:val="en-US"/>
                        </w:rPr>
                        <m:t>'</m:t>
                      </w:ins>
                    </m:r>
                  </m:sup>
                </m:sSup>
                <m:r>
                  <w:ins w:id="29" w:author="Author">
                    <w:rPr>
                      <w:rFonts w:ascii="Cambria Math" w:hAnsi="Cambria Math"/>
                      <w:lang w:val="en-US"/>
                    </w:rPr>
                    <m:t>+2(</m:t>
                  </w:ins>
                </m:r>
                <m:sSub>
                  <m:sSubPr>
                    <m:ctrlPr>
                      <w:ins w:id="30" w:author="Author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31" w:author="Author">
                        <w:rPr>
                          <w:rFonts w:ascii="Cambria Math" w:hAnsi="Cambria Math"/>
                          <w:lang w:val="en-US"/>
                        </w:rPr>
                        <m:t>n</m:t>
                      </w:ins>
                    </m:r>
                  </m:e>
                  <m:sub>
                    <m:r>
                      <w:ins w:id="32" w:author="Author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w:ins>
                    </m:r>
                  </m:sub>
                </m:sSub>
                <m:r>
                  <w:ins w:id="33" w:author="Author">
                    <w:rPr>
                      <w:rFonts w:ascii="Cambria Math" w:hAnsi="Cambria Math"/>
                      <w:lang w:val="en-US"/>
                    </w:rPr>
                    <m:t xml:space="preserve"> mod 64) </m:t>
                  </w:ins>
                </m:r>
              </m:e>
            </m:d>
            <m:r>
              <w:ins w:id="34" w:author="Author">
                <w:rPr>
                  <w:rFonts w:ascii="Cambria Math" w:hAnsi="Cambria Math"/>
                  <w:lang w:val="en-US"/>
                </w:rPr>
                <m:t>mod 220</m:t>
              </w:ins>
            </m:r>
          </m:e>
        </m:d>
      </m:oMath>
      <w:ins w:id="35" w:author="Author">
        <w:del w:id="36" w:author="Author">
          <w:r w:rsidR="00BF1764" w:rsidRPr="00BF1764" w:rsidDel="00925240">
            <w:rPr>
              <w:i/>
              <w:lang w:val="en-US"/>
            </w:rPr>
            <w:delText>,</w:delText>
          </w:r>
        </w:del>
      </w:ins>
    </w:p>
    <w:p w14:paraId="500E7BBD" w14:textId="42FB480E" w:rsidR="00BF1764" w:rsidRPr="00BF1764" w:rsidRDefault="00BF1764" w:rsidP="00BF1764">
      <w:pPr>
        <w:rPr>
          <w:ins w:id="37" w:author="Author"/>
          <w:i/>
        </w:rPr>
      </w:pPr>
      <w:ins w:id="38" w:author="Author">
        <w:r w:rsidRPr="00BF1764">
          <w:rPr>
            <w:lang w:val="en-US"/>
          </w:rPr>
          <w:t xml:space="preserve">if </w:t>
        </w:r>
        <w:r w:rsidRPr="00BF1764">
          <w:t xml:space="preserve">NPRS transmission is configured by higher layer via </w:t>
        </w:r>
        <w:r w:rsidR="00E03129" w:rsidRPr="005C5D4B">
          <w:rPr>
            <w:i/>
            <w:lang w:eastAsia="zh-CN"/>
          </w:rPr>
          <w:t>enhanced-</w:t>
        </w:r>
        <w:proofErr w:type="spellStart"/>
        <w:r w:rsidR="00E03129" w:rsidRPr="005C5D4B">
          <w:rPr>
            <w:i/>
            <w:snapToGrid w:val="0"/>
          </w:rPr>
          <w:t>nprsInfo</w:t>
        </w:r>
        <w:proofErr w:type="spellEnd"/>
        <w:r w:rsidRPr="00BF1764">
          <w:rPr>
            <w:i/>
          </w:rPr>
          <w:t xml:space="preserve">. </w:t>
        </w:r>
      </w:ins>
    </w:p>
    <w:p w14:paraId="7FC5BDA4" w14:textId="20EDBBCC" w:rsidR="00BF1764" w:rsidRDefault="00BF1764" w:rsidP="00BF1764">
      <w:r>
        <w:t>where</w:t>
      </w:r>
    </w:p>
    <w:p w14:paraId="6009300A" w14:textId="77777777" w:rsidR="00BF1764" w:rsidRDefault="00BF1764" w:rsidP="00BF1764">
      <w:pPr>
        <w:pStyle w:val="B1"/>
      </w:pPr>
      <w:r>
        <w:t>-</w:t>
      </w:r>
      <w:r>
        <w:tab/>
        <w:t xml:space="preserve">when the higher layer parameter when the higher layer parameter </w:t>
      </w:r>
      <w:proofErr w:type="spellStart"/>
      <w:r>
        <w:rPr>
          <w:i/>
          <w:iCs/>
        </w:rPr>
        <w:t>operationModeInfoNPRS</w:t>
      </w:r>
      <w:proofErr w:type="spellEnd"/>
      <w:r>
        <w:t xml:space="preserve"> for the configured NB-IoT carrier</w:t>
      </w:r>
      <w:r>
        <w:rPr>
          <w:i/>
          <w:iCs/>
        </w:rPr>
        <w:t xml:space="preserve"> </w:t>
      </w:r>
      <w:r>
        <w:t>is set to in-band</w:t>
      </w:r>
    </w:p>
    <w:p w14:paraId="5B84EC63" w14:textId="77777777" w:rsidR="00BF1764" w:rsidRDefault="00BF1764" w:rsidP="00BF1764">
      <w:pPr>
        <w:pStyle w:val="EQ"/>
        <w:jc w:val="center"/>
      </w:pPr>
      <w:r w:rsidRPr="004214A0">
        <w:rPr>
          <w:rFonts w:eastAsia="Times New Roman"/>
          <w:position w:val="-90"/>
        </w:rPr>
        <w:object w:dxaOrig="5025" w:dyaOrig="1905" w14:anchorId="1AFE27CE">
          <v:shape id="_x0000_i1030" type="#_x0000_t75" style="width:251.15pt;height:95.05pt" o:ole="">
            <v:imagedata r:id="rId23" o:title=""/>
          </v:shape>
          <o:OLEObject Type="Embed" ProgID="Equation.3" ShapeID="_x0000_i1030" DrawAspect="Content" ObjectID="_1595347250" r:id="rId24"/>
        </w:object>
      </w:r>
    </w:p>
    <w:p w14:paraId="156D7C5E" w14:textId="77777777" w:rsidR="00BF1764" w:rsidRDefault="00BF1764" w:rsidP="00BF1764">
      <w:pPr>
        <w:pStyle w:val="B1"/>
        <w:ind w:firstLine="0"/>
      </w:pPr>
      <w:r>
        <w:t xml:space="preserve">where </w:t>
      </w:r>
      <w:r w:rsidRPr="004214A0">
        <w:rPr>
          <w:rFonts w:eastAsia="Times New Roman"/>
          <w:position w:val="-10"/>
        </w:rPr>
        <w:object w:dxaOrig="435" w:dyaOrig="345" w14:anchorId="2349BED0">
          <v:shape id="_x0000_i1031" type="#_x0000_t75" style="width:21.9pt;height:17.3pt" o:ole="">
            <v:imagedata r:id="rId25" o:title=""/>
          </v:shape>
          <o:OLEObject Type="Embed" ProgID="Equation.3" ShapeID="_x0000_i1031" DrawAspect="Content" ObjectID="_1595347251" r:id="rId26"/>
        </w:object>
      </w:r>
      <w:r>
        <w:t xml:space="preserve"> is signalled by higher layers </w:t>
      </w:r>
      <w:proofErr w:type="spellStart"/>
      <w:r>
        <w:rPr>
          <w:i/>
        </w:rPr>
        <w:t>nprs-SequenceInfo</w:t>
      </w:r>
      <w:proofErr w:type="spellEnd"/>
      <w:r>
        <w:t xml:space="preserve">, and </w:t>
      </w:r>
      <w:r w:rsidRPr="004214A0">
        <w:rPr>
          <w:rFonts w:eastAsia="Times New Roman"/>
          <w:position w:val="-6"/>
        </w:rPr>
        <w:object w:dxaOrig="465" w:dyaOrig="255" w14:anchorId="5F29F525">
          <v:shape id="_x0000_i1032" type="#_x0000_t75" style="width:23.05pt;height:12.65pt" o:ole="">
            <v:imagedata r:id="rId27" o:title=""/>
          </v:shape>
          <o:OLEObject Type="Embed" ProgID="Equation.3" ShapeID="_x0000_i1032" DrawAspect="Content" ObjectID="_1595347252" r:id="rId28"/>
        </w:object>
      </w:r>
      <w:r>
        <w:t xml:space="preserve"> if the higher layer parameter </w:t>
      </w:r>
      <w:proofErr w:type="spellStart"/>
      <w:r>
        <w:rPr>
          <w:i/>
        </w:rPr>
        <w:t>nprs-SequenceInfo</w:t>
      </w:r>
      <w:proofErr w:type="spellEnd"/>
      <w:r>
        <w:t xml:space="preserve"> indicates </w:t>
      </w:r>
      <w:r w:rsidRPr="004214A0">
        <w:rPr>
          <w:rFonts w:eastAsia="Times New Roman"/>
          <w:position w:val="-10"/>
        </w:rPr>
        <w:object w:dxaOrig="435" w:dyaOrig="345" w14:anchorId="67AE867F">
          <v:shape id="_x0000_i1033" type="#_x0000_t75" style="width:21.9pt;height:17.3pt" o:ole="">
            <v:imagedata r:id="rId29" o:title=""/>
          </v:shape>
          <o:OLEObject Type="Embed" ProgID="Equation.3" ShapeID="_x0000_i1033" DrawAspect="Content" ObjectID="_1595347253" r:id="rId30"/>
        </w:object>
      </w:r>
      <w:r>
        <w:t xml:space="preserve">is odd, and </w:t>
      </w:r>
      <w:r w:rsidRPr="004214A0">
        <w:rPr>
          <w:rFonts w:eastAsia="Times New Roman"/>
          <w:position w:val="-6"/>
        </w:rPr>
        <w:object w:dxaOrig="495" w:dyaOrig="255" w14:anchorId="2D6AB238">
          <v:shape id="_x0000_i1034" type="#_x0000_t75" style="width:24.75pt;height:12.65pt" o:ole="">
            <v:imagedata r:id="rId31" o:title=""/>
          </v:shape>
          <o:OLEObject Type="Embed" ProgID="Equation.3" ShapeID="_x0000_i1034" DrawAspect="Content" ObjectID="_1595347254" r:id="rId32"/>
        </w:object>
      </w:r>
      <w:r>
        <w:t xml:space="preserve"> if the higher layer parameter </w:t>
      </w:r>
      <w:proofErr w:type="spellStart"/>
      <w:r>
        <w:rPr>
          <w:i/>
        </w:rPr>
        <w:t>nprs-SequenceInfo</w:t>
      </w:r>
      <w:proofErr w:type="spellEnd"/>
      <w:r>
        <w:t xml:space="preserve"> indicates </w:t>
      </w:r>
      <w:r w:rsidRPr="004214A0">
        <w:rPr>
          <w:rFonts w:eastAsia="Times New Roman"/>
          <w:position w:val="-10"/>
        </w:rPr>
        <w:object w:dxaOrig="435" w:dyaOrig="345" w14:anchorId="7143E063">
          <v:shape id="_x0000_i1035" type="#_x0000_t75" style="width:21.9pt;height:17.3pt" o:ole="">
            <v:imagedata r:id="rId33" o:title=""/>
          </v:shape>
          <o:OLEObject Type="Embed" ProgID="Equation.3" ShapeID="_x0000_i1035" DrawAspect="Content" ObjectID="_1595347255" r:id="rId34"/>
        </w:object>
      </w:r>
      <w:r>
        <w:t>is even.</w:t>
      </w:r>
    </w:p>
    <w:p w14:paraId="2448D2EE" w14:textId="77777777" w:rsidR="00BF1764" w:rsidRDefault="00BF1764" w:rsidP="00BF1764">
      <w:pPr>
        <w:pStyle w:val="B1"/>
      </w:pPr>
      <w:r>
        <w:t>-</w:t>
      </w:r>
      <w:r>
        <w:tab/>
        <w:t xml:space="preserve">when the higher layer parameter </w:t>
      </w:r>
      <w:proofErr w:type="spellStart"/>
      <w:r>
        <w:rPr>
          <w:i/>
          <w:iCs/>
        </w:rPr>
        <w:t>operationModeInfoNPRS</w:t>
      </w:r>
      <w:proofErr w:type="spellEnd"/>
      <w:r>
        <w:t xml:space="preserve"> for the configured NB-IoT carrier</w:t>
      </w:r>
      <w:r>
        <w:rPr>
          <w:i/>
          <w:iCs/>
        </w:rPr>
        <w:t xml:space="preserve"> </w:t>
      </w:r>
      <w:r>
        <w:t>is set to standalone or guard-band</w:t>
      </w:r>
    </w:p>
    <w:p w14:paraId="18D0B175" w14:textId="77777777" w:rsidR="00BF1764" w:rsidRDefault="00BF1764" w:rsidP="00BF1764">
      <w:pPr>
        <w:pStyle w:val="EQ"/>
        <w:jc w:val="center"/>
      </w:pPr>
      <w:r w:rsidRPr="004214A0">
        <w:rPr>
          <w:rFonts w:eastAsia="Times New Roman"/>
          <w:position w:val="-58"/>
        </w:rPr>
        <w:object w:dxaOrig="2310" w:dyaOrig="1260" w14:anchorId="54043232">
          <v:shape id="_x0000_i1036" type="#_x0000_t75" style="width:115.2pt;height:63.35pt" o:ole="">
            <v:imagedata r:id="rId35" o:title=""/>
          </v:shape>
          <o:OLEObject Type="Embed" ProgID="Equation.3" ShapeID="_x0000_i1036" DrawAspect="Content" ObjectID="_1595347256" r:id="rId36"/>
        </w:object>
      </w:r>
    </w:p>
    <w:p w14:paraId="19348370" w14:textId="77777777" w:rsidR="00BF1764" w:rsidRDefault="00BF1764" w:rsidP="00BF1764">
      <w:r>
        <w:t xml:space="preserve">and where </w:t>
      </w:r>
      <w:r w:rsidRPr="004214A0">
        <w:rPr>
          <w:rFonts w:eastAsia="Times New Roman"/>
          <w:position w:val="-10"/>
        </w:rPr>
        <w:object w:dxaOrig="1755" w:dyaOrig="345" w14:anchorId="4006884C">
          <v:shape id="_x0000_i1037" type="#_x0000_t75" style="width:87.55pt;height:17.3pt" o:ole="">
            <v:imagedata r:id="rId37" o:title=""/>
          </v:shape>
          <o:OLEObject Type="Embed" ProgID="Equation.3" ShapeID="_x0000_i1037" DrawAspect="Content" ObjectID="_1595347257" r:id="rId38"/>
        </w:object>
      </w:r>
      <w:r>
        <w:t xml:space="preserve">. If </w:t>
      </w:r>
      <w:r w:rsidRPr="004214A0">
        <w:rPr>
          <w:rFonts w:eastAsia="Times New Roman"/>
          <w:position w:val="-10"/>
        </w:rPr>
        <w:object w:dxaOrig="600" w:dyaOrig="345" w14:anchorId="55A7A72C">
          <v:shape id="_x0000_i1038" type="#_x0000_t75" style="width:29.95pt;height:17.3pt" o:ole="">
            <v:imagedata r:id="rId39" o:title=""/>
          </v:shape>
          <o:OLEObject Type="Embed" ProgID="Equation.3" ShapeID="_x0000_i1038" DrawAspect="Content" ObjectID="_1595347258" r:id="rId40"/>
        </w:object>
      </w:r>
      <w:r>
        <w:t xml:space="preserve">is not configured by higher layers, </w:t>
      </w:r>
      <w:r w:rsidRPr="004214A0">
        <w:rPr>
          <w:rFonts w:eastAsia="Times New Roman"/>
          <w:position w:val="-10"/>
        </w:rPr>
        <w:object w:dxaOrig="1320" w:dyaOrig="345" w14:anchorId="1BC51B7A">
          <v:shape id="_x0000_i1039" type="#_x0000_t75" style="width:65.65pt;height:17.3pt" o:ole="">
            <v:imagedata r:id="rId41" o:title=""/>
          </v:shape>
          <o:OLEObject Type="Embed" ProgID="Equation.3" ShapeID="_x0000_i1039" DrawAspect="Content" ObjectID="_1595347259" r:id="rId42"/>
        </w:object>
      </w:r>
      <w:r>
        <w:t xml:space="preserve">. The number of PBCH antenna ports is signalled by higher layers. </w:t>
      </w:r>
    </w:p>
    <w:p w14:paraId="0EA3206E" w14:textId="77777777" w:rsidR="00BF1764" w:rsidRDefault="00BF1764" w:rsidP="00BF1764">
      <w:r>
        <w:t xml:space="preserve">If higher layer parameter </w:t>
      </w:r>
      <w:proofErr w:type="spellStart"/>
      <w:r>
        <w:rPr>
          <w:i/>
        </w:rPr>
        <w:t>nprsBitmap</w:t>
      </w:r>
      <w:proofErr w:type="spellEnd"/>
      <w:r>
        <w:t xml:space="preserve"> is not configured, resource elements in OFDM symbols 5 and 6 in each slot shall not be used for transmission of NPRS.</w:t>
      </w:r>
    </w:p>
    <w:p w14:paraId="231FCD0B" w14:textId="77777777" w:rsidR="00BF1764" w:rsidRDefault="00BF1764" w:rsidP="00BF1764"/>
    <w:p w14:paraId="1609D180" w14:textId="77777777" w:rsidR="00BF1764" w:rsidRDefault="00BF1764" w:rsidP="00BF1764">
      <w:pPr>
        <w:pStyle w:val="TH"/>
      </w:pPr>
      <w:r w:rsidRPr="004214A0">
        <w:rPr>
          <w:rFonts w:eastAsia="Times New Roman"/>
        </w:rPr>
        <w:object w:dxaOrig="8325" w:dyaOrig="3915" w14:anchorId="73BBDEA6">
          <v:shape id="_x0000_i1040" type="#_x0000_t75" style="width:416.45pt;height:195.85pt" o:ole="">
            <v:imagedata r:id="rId43" o:title="" croptop="43792f" cropleft="8914f"/>
          </v:shape>
          <o:OLEObject Type="Embed" ProgID="Visio.Drawing.15" ShapeID="_x0000_i1040" DrawAspect="Content" ObjectID="_1595347260" r:id="rId44"/>
        </w:object>
      </w:r>
    </w:p>
    <w:p w14:paraId="11B6DF50" w14:textId="77777777" w:rsidR="00BF1764" w:rsidRDefault="00BF1764" w:rsidP="00BF1764">
      <w:pPr>
        <w:pStyle w:val="TF"/>
      </w:pPr>
      <w:r>
        <w:t>Figure 10.2.6A.2-1: Mapping of NPRS (</w:t>
      </w:r>
      <w:proofErr w:type="spellStart"/>
      <w:r>
        <w:rPr>
          <w:i/>
          <w:iCs/>
        </w:rPr>
        <w:t>operationModeInfoNPRS</w:t>
      </w:r>
      <w:proofErr w:type="spellEnd"/>
      <w:r>
        <w:rPr>
          <w:i/>
          <w:iCs/>
        </w:rPr>
        <w:t xml:space="preserve"> </w:t>
      </w:r>
      <w:r>
        <w:t xml:space="preserve">is set to in-band, </w:t>
      </w:r>
      <w:proofErr w:type="spellStart"/>
      <w:r>
        <w:rPr>
          <w:i/>
        </w:rPr>
        <w:t>nprsBitmap</w:t>
      </w:r>
      <w:proofErr w:type="spellEnd"/>
      <w:r>
        <w:t xml:space="preserve"> configured)</w:t>
      </w:r>
    </w:p>
    <w:p w14:paraId="2FA1C24D" w14:textId="77777777" w:rsidR="00BF1764" w:rsidRDefault="00BF1764" w:rsidP="00BF1764"/>
    <w:p w14:paraId="6BA7CD53" w14:textId="77777777" w:rsidR="00BF1764" w:rsidRDefault="00BF1764" w:rsidP="00BF1764">
      <w:pPr>
        <w:pStyle w:val="TH"/>
      </w:pPr>
      <w:r w:rsidRPr="004214A0">
        <w:rPr>
          <w:rFonts w:eastAsia="Times New Roman"/>
        </w:rPr>
        <w:object w:dxaOrig="4005" w:dyaOrig="4470" w14:anchorId="09598383">
          <v:shape id="_x0000_i1041" type="#_x0000_t75" style="width:200.45pt;height:223.5pt" o:ole="">
            <v:imagedata r:id="rId45" o:title="" croptop="43492f" cropleft="21446f"/>
          </v:shape>
          <o:OLEObject Type="Embed" ProgID="Visio.Drawing.15" ShapeID="_x0000_i1041" DrawAspect="Content" ObjectID="_1595347261" r:id="rId46"/>
        </w:object>
      </w:r>
    </w:p>
    <w:p w14:paraId="1F7CE2B0" w14:textId="77777777" w:rsidR="00BF1764" w:rsidRDefault="00BF1764" w:rsidP="00BF1764">
      <w:pPr>
        <w:pStyle w:val="TF"/>
      </w:pPr>
      <w:r>
        <w:t>Figure 10.2.6A.2-2: Mapping of NPRS (</w:t>
      </w:r>
      <w:proofErr w:type="spellStart"/>
      <w:r>
        <w:rPr>
          <w:i/>
        </w:rPr>
        <w:t>operationModeInfoNPRS</w:t>
      </w:r>
      <w:proofErr w:type="spellEnd"/>
      <w:r>
        <w:t xml:space="preserve"> is set to standalone or guard-band, </w:t>
      </w:r>
      <w:proofErr w:type="spellStart"/>
      <w:r>
        <w:t>nprsBitmap</w:t>
      </w:r>
      <w:proofErr w:type="spellEnd"/>
      <w:r>
        <w:t xml:space="preserve"> configured)</w:t>
      </w:r>
    </w:p>
    <w:p w14:paraId="1A460991" w14:textId="77777777" w:rsidR="000173F0" w:rsidRDefault="005168E4" w:rsidP="000173F0">
      <w:pPr>
        <w:pStyle w:val="Heading5"/>
        <w:jc w:val="center"/>
        <w:rPr>
          <w:color w:val="FF0000"/>
          <w:szCs w:val="28"/>
          <w:lang w:eastAsia="zh-CN"/>
        </w:rPr>
      </w:pPr>
      <w:r w:rsidRPr="005168E4">
        <w:rPr>
          <w:color w:val="FF0000"/>
          <w:szCs w:val="28"/>
          <w:lang w:eastAsia="zh-CN"/>
        </w:rPr>
        <w:t>&lt;Unchanged parts are omitted&gt;</w:t>
      </w:r>
    </w:p>
    <w:sectPr w:rsidR="000173F0" w:rsidSect="008815C0">
      <w:headerReference w:type="defaul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0C0F1" w14:textId="77777777" w:rsidR="0002531B" w:rsidRDefault="0002531B">
      <w:r>
        <w:separator/>
      </w:r>
    </w:p>
  </w:endnote>
  <w:endnote w:type="continuationSeparator" w:id="0">
    <w:p w14:paraId="3AF8399B" w14:textId="77777777" w:rsidR="0002531B" w:rsidRDefault="0002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FECB5" w14:textId="77777777" w:rsidR="0002531B" w:rsidRDefault="0002531B">
      <w:r>
        <w:separator/>
      </w:r>
    </w:p>
  </w:footnote>
  <w:footnote w:type="continuationSeparator" w:id="0">
    <w:p w14:paraId="00822746" w14:textId="77777777" w:rsidR="0002531B" w:rsidRDefault="00025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660EF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156831"/>
    <w:multiLevelType w:val="hybridMultilevel"/>
    <w:tmpl w:val="91F85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34629D"/>
    <w:multiLevelType w:val="hybridMultilevel"/>
    <w:tmpl w:val="E0B2A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6E06F9"/>
    <w:multiLevelType w:val="hybridMultilevel"/>
    <w:tmpl w:val="5492D09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2"/>
  </w:num>
  <w:num w:numId="13">
    <w:abstractNumId w:val="36"/>
  </w:num>
  <w:num w:numId="14">
    <w:abstractNumId w:val="2"/>
  </w:num>
  <w:num w:numId="15">
    <w:abstractNumId w:val="13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1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1"/>
  </w:num>
  <w:num w:numId="28">
    <w:abstractNumId w:val="18"/>
  </w:num>
  <w:num w:numId="29">
    <w:abstractNumId w:val="45"/>
  </w:num>
  <w:num w:numId="30">
    <w:abstractNumId w:val="27"/>
  </w:num>
  <w:num w:numId="31">
    <w:abstractNumId w:val="15"/>
  </w:num>
  <w:num w:numId="32">
    <w:abstractNumId w:val="43"/>
  </w:num>
  <w:num w:numId="33">
    <w:abstractNumId w:val="37"/>
  </w:num>
  <w:num w:numId="34">
    <w:abstractNumId w:val="34"/>
  </w:num>
  <w:num w:numId="35">
    <w:abstractNumId w:val="5"/>
  </w:num>
  <w:num w:numId="36">
    <w:abstractNumId w:val="35"/>
  </w:num>
  <w:num w:numId="37">
    <w:abstractNumId w:val="4"/>
  </w:num>
  <w:num w:numId="38">
    <w:abstractNumId w:val="14"/>
  </w:num>
  <w:num w:numId="39">
    <w:abstractNumId w:val="33"/>
  </w:num>
  <w:num w:numId="40">
    <w:abstractNumId w:val="41"/>
  </w:num>
  <w:num w:numId="41">
    <w:abstractNumId w:val="6"/>
  </w:num>
  <w:num w:numId="42">
    <w:abstractNumId w:val="32"/>
  </w:num>
  <w:num w:numId="43">
    <w:abstractNumId w:val="10"/>
  </w:num>
  <w:num w:numId="44">
    <w:abstractNumId w:val="7"/>
  </w:num>
  <w:num w:numId="45">
    <w:abstractNumId w:val="39"/>
  </w:num>
  <w:num w:numId="46">
    <w:abstractNumId w:val="38"/>
  </w:num>
  <w:num w:numId="47">
    <w:abstractNumId w:val="44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11B10"/>
    <w:rsid w:val="000173F0"/>
    <w:rsid w:val="00021746"/>
    <w:rsid w:val="000229A6"/>
    <w:rsid w:val="00022E4A"/>
    <w:rsid w:val="0002531B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4F9A"/>
    <w:rsid w:val="00075091"/>
    <w:rsid w:val="00075635"/>
    <w:rsid w:val="00083F8A"/>
    <w:rsid w:val="00085D89"/>
    <w:rsid w:val="0008799C"/>
    <w:rsid w:val="00087B76"/>
    <w:rsid w:val="00091EED"/>
    <w:rsid w:val="00095F8B"/>
    <w:rsid w:val="000A3329"/>
    <w:rsid w:val="000A4CB3"/>
    <w:rsid w:val="000A6394"/>
    <w:rsid w:val="000A6DF8"/>
    <w:rsid w:val="000A6FD7"/>
    <w:rsid w:val="000B6F8F"/>
    <w:rsid w:val="000C038A"/>
    <w:rsid w:val="000C112B"/>
    <w:rsid w:val="000C303F"/>
    <w:rsid w:val="000C4B87"/>
    <w:rsid w:val="000C6598"/>
    <w:rsid w:val="000D251B"/>
    <w:rsid w:val="000D3764"/>
    <w:rsid w:val="000D6DF3"/>
    <w:rsid w:val="000D789F"/>
    <w:rsid w:val="000E22FA"/>
    <w:rsid w:val="000E3441"/>
    <w:rsid w:val="000E609E"/>
    <w:rsid w:val="000F4595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605C6"/>
    <w:rsid w:val="00161542"/>
    <w:rsid w:val="00161B93"/>
    <w:rsid w:val="001634AE"/>
    <w:rsid w:val="00164619"/>
    <w:rsid w:val="00171580"/>
    <w:rsid w:val="00171C90"/>
    <w:rsid w:val="00172E44"/>
    <w:rsid w:val="001822FA"/>
    <w:rsid w:val="001844E2"/>
    <w:rsid w:val="00185FD0"/>
    <w:rsid w:val="00190F89"/>
    <w:rsid w:val="00192C46"/>
    <w:rsid w:val="00194CD8"/>
    <w:rsid w:val="00196E34"/>
    <w:rsid w:val="001A60B3"/>
    <w:rsid w:val="001A7B60"/>
    <w:rsid w:val="001B0325"/>
    <w:rsid w:val="001B44BB"/>
    <w:rsid w:val="001B4753"/>
    <w:rsid w:val="001B7A65"/>
    <w:rsid w:val="001C08D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75F"/>
    <w:rsid w:val="00222BDB"/>
    <w:rsid w:val="00223BCA"/>
    <w:rsid w:val="002249D6"/>
    <w:rsid w:val="00227FB7"/>
    <w:rsid w:val="002314D4"/>
    <w:rsid w:val="00232234"/>
    <w:rsid w:val="00252BD7"/>
    <w:rsid w:val="00255960"/>
    <w:rsid w:val="0025632D"/>
    <w:rsid w:val="00256CAB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90CB4"/>
    <w:rsid w:val="0029363B"/>
    <w:rsid w:val="00293FFB"/>
    <w:rsid w:val="002A1644"/>
    <w:rsid w:val="002A291F"/>
    <w:rsid w:val="002A2F9C"/>
    <w:rsid w:val="002A47A9"/>
    <w:rsid w:val="002B17AE"/>
    <w:rsid w:val="002B3585"/>
    <w:rsid w:val="002B5741"/>
    <w:rsid w:val="002C0053"/>
    <w:rsid w:val="002C3D43"/>
    <w:rsid w:val="002D176C"/>
    <w:rsid w:val="002D4FAB"/>
    <w:rsid w:val="002D659C"/>
    <w:rsid w:val="002E134B"/>
    <w:rsid w:val="002E29AF"/>
    <w:rsid w:val="002E7391"/>
    <w:rsid w:val="002F018A"/>
    <w:rsid w:val="002F0F01"/>
    <w:rsid w:val="002F184D"/>
    <w:rsid w:val="002F5879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16E3C"/>
    <w:rsid w:val="00326FDC"/>
    <w:rsid w:val="00327436"/>
    <w:rsid w:val="00327608"/>
    <w:rsid w:val="00337233"/>
    <w:rsid w:val="00337DA0"/>
    <w:rsid w:val="00342D68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2559"/>
    <w:rsid w:val="00372BE2"/>
    <w:rsid w:val="00383EC7"/>
    <w:rsid w:val="003959B5"/>
    <w:rsid w:val="0039698D"/>
    <w:rsid w:val="003A28D9"/>
    <w:rsid w:val="003A6559"/>
    <w:rsid w:val="003B020D"/>
    <w:rsid w:val="003B2A37"/>
    <w:rsid w:val="003B3614"/>
    <w:rsid w:val="003B6C4C"/>
    <w:rsid w:val="003C545F"/>
    <w:rsid w:val="003C75F6"/>
    <w:rsid w:val="003D3A48"/>
    <w:rsid w:val="003D4302"/>
    <w:rsid w:val="003D565B"/>
    <w:rsid w:val="003E0AEE"/>
    <w:rsid w:val="003E1A36"/>
    <w:rsid w:val="003F0D99"/>
    <w:rsid w:val="003F3CE3"/>
    <w:rsid w:val="003F5882"/>
    <w:rsid w:val="00400302"/>
    <w:rsid w:val="0040143D"/>
    <w:rsid w:val="00401E1C"/>
    <w:rsid w:val="00402AF8"/>
    <w:rsid w:val="00403A98"/>
    <w:rsid w:val="0040553D"/>
    <w:rsid w:val="00410432"/>
    <w:rsid w:val="00412701"/>
    <w:rsid w:val="00417E97"/>
    <w:rsid w:val="004214A0"/>
    <w:rsid w:val="00422B5C"/>
    <w:rsid w:val="004242F1"/>
    <w:rsid w:val="004321E5"/>
    <w:rsid w:val="00433952"/>
    <w:rsid w:val="00441905"/>
    <w:rsid w:val="004475F3"/>
    <w:rsid w:val="004516C5"/>
    <w:rsid w:val="00453FBE"/>
    <w:rsid w:val="004545D9"/>
    <w:rsid w:val="004642FD"/>
    <w:rsid w:val="00466F16"/>
    <w:rsid w:val="0046730F"/>
    <w:rsid w:val="004677B5"/>
    <w:rsid w:val="00467B56"/>
    <w:rsid w:val="00470BA4"/>
    <w:rsid w:val="00471F54"/>
    <w:rsid w:val="00473BCB"/>
    <w:rsid w:val="0048281E"/>
    <w:rsid w:val="00483B94"/>
    <w:rsid w:val="0048558B"/>
    <w:rsid w:val="004904A0"/>
    <w:rsid w:val="004956CB"/>
    <w:rsid w:val="004968E5"/>
    <w:rsid w:val="00497CAB"/>
    <w:rsid w:val="004A0B98"/>
    <w:rsid w:val="004A1087"/>
    <w:rsid w:val="004A355B"/>
    <w:rsid w:val="004A7DB2"/>
    <w:rsid w:val="004B28B8"/>
    <w:rsid w:val="004B2C08"/>
    <w:rsid w:val="004B75B7"/>
    <w:rsid w:val="004C2DC4"/>
    <w:rsid w:val="004C3330"/>
    <w:rsid w:val="004C37E1"/>
    <w:rsid w:val="004C5002"/>
    <w:rsid w:val="004C73D0"/>
    <w:rsid w:val="004D18C5"/>
    <w:rsid w:val="004D38E2"/>
    <w:rsid w:val="004D3C21"/>
    <w:rsid w:val="004D41A6"/>
    <w:rsid w:val="004E1036"/>
    <w:rsid w:val="004E1EE6"/>
    <w:rsid w:val="004E2D0C"/>
    <w:rsid w:val="004E315D"/>
    <w:rsid w:val="004E52B1"/>
    <w:rsid w:val="004F29DD"/>
    <w:rsid w:val="004F3128"/>
    <w:rsid w:val="004F6AF1"/>
    <w:rsid w:val="004F70C7"/>
    <w:rsid w:val="004F7E00"/>
    <w:rsid w:val="0050378B"/>
    <w:rsid w:val="0051580D"/>
    <w:rsid w:val="005168E4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3D32"/>
    <w:rsid w:val="00554DF5"/>
    <w:rsid w:val="00554E94"/>
    <w:rsid w:val="00557540"/>
    <w:rsid w:val="005639E3"/>
    <w:rsid w:val="00564B10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2FF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F95"/>
    <w:rsid w:val="005C5D4B"/>
    <w:rsid w:val="005C7D28"/>
    <w:rsid w:val="005D1171"/>
    <w:rsid w:val="005D3C20"/>
    <w:rsid w:val="005E2C44"/>
    <w:rsid w:val="005E5101"/>
    <w:rsid w:val="005F46D0"/>
    <w:rsid w:val="0060032E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47694"/>
    <w:rsid w:val="006518A4"/>
    <w:rsid w:val="00655C7C"/>
    <w:rsid w:val="00664286"/>
    <w:rsid w:val="0067219F"/>
    <w:rsid w:val="00675A6D"/>
    <w:rsid w:val="00675AFC"/>
    <w:rsid w:val="006774B6"/>
    <w:rsid w:val="00681079"/>
    <w:rsid w:val="006861EB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5B5B"/>
    <w:rsid w:val="006D6D77"/>
    <w:rsid w:val="006E1D21"/>
    <w:rsid w:val="006E21FB"/>
    <w:rsid w:val="006E60C4"/>
    <w:rsid w:val="006E7404"/>
    <w:rsid w:val="006F1746"/>
    <w:rsid w:val="006F617F"/>
    <w:rsid w:val="006F665F"/>
    <w:rsid w:val="0070009A"/>
    <w:rsid w:val="007007D9"/>
    <w:rsid w:val="007129E5"/>
    <w:rsid w:val="0071784C"/>
    <w:rsid w:val="00726A5F"/>
    <w:rsid w:val="00732B09"/>
    <w:rsid w:val="00733023"/>
    <w:rsid w:val="007339C3"/>
    <w:rsid w:val="00733AFD"/>
    <w:rsid w:val="007414C7"/>
    <w:rsid w:val="00741855"/>
    <w:rsid w:val="00741D42"/>
    <w:rsid w:val="00743405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81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55C1"/>
    <w:rsid w:val="00806350"/>
    <w:rsid w:val="0081052B"/>
    <w:rsid w:val="00810DA5"/>
    <w:rsid w:val="00811726"/>
    <w:rsid w:val="00812CA1"/>
    <w:rsid w:val="00813CFF"/>
    <w:rsid w:val="00816542"/>
    <w:rsid w:val="008200F9"/>
    <w:rsid w:val="008217AB"/>
    <w:rsid w:val="008227F6"/>
    <w:rsid w:val="00825548"/>
    <w:rsid w:val="008279FA"/>
    <w:rsid w:val="00830B16"/>
    <w:rsid w:val="008310AE"/>
    <w:rsid w:val="0083365C"/>
    <w:rsid w:val="00836C71"/>
    <w:rsid w:val="008370BE"/>
    <w:rsid w:val="00843237"/>
    <w:rsid w:val="00844E9B"/>
    <w:rsid w:val="00851464"/>
    <w:rsid w:val="00854D20"/>
    <w:rsid w:val="00855E2D"/>
    <w:rsid w:val="008604C4"/>
    <w:rsid w:val="00860547"/>
    <w:rsid w:val="0086121F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F97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5240"/>
    <w:rsid w:val="0092600A"/>
    <w:rsid w:val="0092661E"/>
    <w:rsid w:val="0093469A"/>
    <w:rsid w:val="00935119"/>
    <w:rsid w:val="00937F8B"/>
    <w:rsid w:val="00943150"/>
    <w:rsid w:val="00950F21"/>
    <w:rsid w:val="009510CA"/>
    <w:rsid w:val="00951FB1"/>
    <w:rsid w:val="00955B57"/>
    <w:rsid w:val="00964D7F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3F2F"/>
    <w:rsid w:val="009B6C67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46B6"/>
    <w:rsid w:val="00A24DFD"/>
    <w:rsid w:val="00A33D8F"/>
    <w:rsid w:val="00A347B2"/>
    <w:rsid w:val="00A35AA0"/>
    <w:rsid w:val="00A37505"/>
    <w:rsid w:val="00A452D9"/>
    <w:rsid w:val="00A47E70"/>
    <w:rsid w:val="00A526CC"/>
    <w:rsid w:val="00A5450C"/>
    <w:rsid w:val="00A55C00"/>
    <w:rsid w:val="00A5623B"/>
    <w:rsid w:val="00A57F60"/>
    <w:rsid w:val="00A635A0"/>
    <w:rsid w:val="00A63C0E"/>
    <w:rsid w:val="00A65C88"/>
    <w:rsid w:val="00A66D6D"/>
    <w:rsid w:val="00A67475"/>
    <w:rsid w:val="00A71845"/>
    <w:rsid w:val="00A71BF7"/>
    <w:rsid w:val="00A7589A"/>
    <w:rsid w:val="00A7671C"/>
    <w:rsid w:val="00A821BA"/>
    <w:rsid w:val="00A840AC"/>
    <w:rsid w:val="00A902E5"/>
    <w:rsid w:val="00A92757"/>
    <w:rsid w:val="00A929FC"/>
    <w:rsid w:val="00A940C0"/>
    <w:rsid w:val="00AA08DD"/>
    <w:rsid w:val="00AA4A05"/>
    <w:rsid w:val="00AA61A4"/>
    <w:rsid w:val="00AB2122"/>
    <w:rsid w:val="00AB2CBD"/>
    <w:rsid w:val="00AC45C6"/>
    <w:rsid w:val="00AD0DAE"/>
    <w:rsid w:val="00AD12AA"/>
    <w:rsid w:val="00AD1CD8"/>
    <w:rsid w:val="00AD3CB4"/>
    <w:rsid w:val="00AD4673"/>
    <w:rsid w:val="00AD598B"/>
    <w:rsid w:val="00AD6E4C"/>
    <w:rsid w:val="00AD6FEF"/>
    <w:rsid w:val="00AE69CB"/>
    <w:rsid w:val="00AF3017"/>
    <w:rsid w:val="00AF499E"/>
    <w:rsid w:val="00AF5E70"/>
    <w:rsid w:val="00B01C36"/>
    <w:rsid w:val="00B035C8"/>
    <w:rsid w:val="00B037FC"/>
    <w:rsid w:val="00B05527"/>
    <w:rsid w:val="00B1088E"/>
    <w:rsid w:val="00B133FD"/>
    <w:rsid w:val="00B14BCD"/>
    <w:rsid w:val="00B14CFA"/>
    <w:rsid w:val="00B152C6"/>
    <w:rsid w:val="00B20438"/>
    <w:rsid w:val="00B23380"/>
    <w:rsid w:val="00B24EB7"/>
    <w:rsid w:val="00B258BB"/>
    <w:rsid w:val="00B25D98"/>
    <w:rsid w:val="00B25F27"/>
    <w:rsid w:val="00B268DF"/>
    <w:rsid w:val="00B27969"/>
    <w:rsid w:val="00B31C8E"/>
    <w:rsid w:val="00B40178"/>
    <w:rsid w:val="00B40E0E"/>
    <w:rsid w:val="00B43022"/>
    <w:rsid w:val="00B43CE8"/>
    <w:rsid w:val="00B43D0A"/>
    <w:rsid w:val="00B43FE0"/>
    <w:rsid w:val="00B50230"/>
    <w:rsid w:val="00B63019"/>
    <w:rsid w:val="00B63A89"/>
    <w:rsid w:val="00B65A34"/>
    <w:rsid w:val="00B65CAC"/>
    <w:rsid w:val="00B6703B"/>
    <w:rsid w:val="00B67B97"/>
    <w:rsid w:val="00B71687"/>
    <w:rsid w:val="00B76C05"/>
    <w:rsid w:val="00B777EF"/>
    <w:rsid w:val="00B8009A"/>
    <w:rsid w:val="00B80400"/>
    <w:rsid w:val="00B82364"/>
    <w:rsid w:val="00B9072D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C79C7"/>
    <w:rsid w:val="00BD279D"/>
    <w:rsid w:val="00BD4544"/>
    <w:rsid w:val="00BD63A9"/>
    <w:rsid w:val="00BD6BB8"/>
    <w:rsid w:val="00BE3D7B"/>
    <w:rsid w:val="00BE672B"/>
    <w:rsid w:val="00BF0F89"/>
    <w:rsid w:val="00BF1764"/>
    <w:rsid w:val="00BF28EE"/>
    <w:rsid w:val="00BF620E"/>
    <w:rsid w:val="00C063A1"/>
    <w:rsid w:val="00C200F5"/>
    <w:rsid w:val="00C214B3"/>
    <w:rsid w:val="00C221AE"/>
    <w:rsid w:val="00C23900"/>
    <w:rsid w:val="00C34744"/>
    <w:rsid w:val="00C34D2A"/>
    <w:rsid w:val="00C47354"/>
    <w:rsid w:val="00C473E6"/>
    <w:rsid w:val="00C47C67"/>
    <w:rsid w:val="00C47E91"/>
    <w:rsid w:val="00C5068F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0896"/>
    <w:rsid w:val="00CC5026"/>
    <w:rsid w:val="00CC6F7D"/>
    <w:rsid w:val="00CD0DC4"/>
    <w:rsid w:val="00CD2358"/>
    <w:rsid w:val="00CD3417"/>
    <w:rsid w:val="00CE132A"/>
    <w:rsid w:val="00CE3F5B"/>
    <w:rsid w:val="00CF2A53"/>
    <w:rsid w:val="00CF4620"/>
    <w:rsid w:val="00CF6E57"/>
    <w:rsid w:val="00CF7E29"/>
    <w:rsid w:val="00D03A70"/>
    <w:rsid w:val="00D03F9A"/>
    <w:rsid w:val="00D04955"/>
    <w:rsid w:val="00D04E4B"/>
    <w:rsid w:val="00D069BB"/>
    <w:rsid w:val="00D07975"/>
    <w:rsid w:val="00D125B4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51D30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1932"/>
    <w:rsid w:val="00D93BC9"/>
    <w:rsid w:val="00D95289"/>
    <w:rsid w:val="00D95F5C"/>
    <w:rsid w:val="00D96533"/>
    <w:rsid w:val="00D96795"/>
    <w:rsid w:val="00DA1B28"/>
    <w:rsid w:val="00DA4EF2"/>
    <w:rsid w:val="00DB698D"/>
    <w:rsid w:val="00DB7995"/>
    <w:rsid w:val="00DB7F5A"/>
    <w:rsid w:val="00DC2548"/>
    <w:rsid w:val="00DC615A"/>
    <w:rsid w:val="00DD0E91"/>
    <w:rsid w:val="00DD518E"/>
    <w:rsid w:val="00DE030D"/>
    <w:rsid w:val="00DE0D69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E00D6D"/>
    <w:rsid w:val="00E01577"/>
    <w:rsid w:val="00E027BF"/>
    <w:rsid w:val="00E03129"/>
    <w:rsid w:val="00E04EB7"/>
    <w:rsid w:val="00E073D9"/>
    <w:rsid w:val="00E07B50"/>
    <w:rsid w:val="00E11B98"/>
    <w:rsid w:val="00E206A9"/>
    <w:rsid w:val="00E23426"/>
    <w:rsid w:val="00E27D0F"/>
    <w:rsid w:val="00E3069B"/>
    <w:rsid w:val="00E32C86"/>
    <w:rsid w:val="00E32E8B"/>
    <w:rsid w:val="00E37086"/>
    <w:rsid w:val="00E37937"/>
    <w:rsid w:val="00E406D7"/>
    <w:rsid w:val="00E4274B"/>
    <w:rsid w:val="00E539FB"/>
    <w:rsid w:val="00E543B2"/>
    <w:rsid w:val="00E6442C"/>
    <w:rsid w:val="00E659A8"/>
    <w:rsid w:val="00E671FD"/>
    <w:rsid w:val="00E75387"/>
    <w:rsid w:val="00E75A71"/>
    <w:rsid w:val="00E76BD8"/>
    <w:rsid w:val="00E81D56"/>
    <w:rsid w:val="00E8251D"/>
    <w:rsid w:val="00E82F9D"/>
    <w:rsid w:val="00E90B27"/>
    <w:rsid w:val="00E91124"/>
    <w:rsid w:val="00E93803"/>
    <w:rsid w:val="00E9440E"/>
    <w:rsid w:val="00E94875"/>
    <w:rsid w:val="00E95378"/>
    <w:rsid w:val="00EA23F8"/>
    <w:rsid w:val="00EA3596"/>
    <w:rsid w:val="00EA765F"/>
    <w:rsid w:val="00EB040D"/>
    <w:rsid w:val="00EB1960"/>
    <w:rsid w:val="00EB2025"/>
    <w:rsid w:val="00EB70EF"/>
    <w:rsid w:val="00EB71F7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EF6AAE"/>
    <w:rsid w:val="00F026E4"/>
    <w:rsid w:val="00F02B6A"/>
    <w:rsid w:val="00F0461F"/>
    <w:rsid w:val="00F05884"/>
    <w:rsid w:val="00F113A2"/>
    <w:rsid w:val="00F11418"/>
    <w:rsid w:val="00F11CE8"/>
    <w:rsid w:val="00F124CE"/>
    <w:rsid w:val="00F13F6F"/>
    <w:rsid w:val="00F20FCA"/>
    <w:rsid w:val="00F21039"/>
    <w:rsid w:val="00F21F7E"/>
    <w:rsid w:val="00F24767"/>
    <w:rsid w:val="00F25D98"/>
    <w:rsid w:val="00F260FA"/>
    <w:rsid w:val="00F278BE"/>
    <w:rsid w:val="00F278CD"/>
    <w:rsid w:val="00F300FB"/>
    <w:rsid w:val="00F3139B"/>
    <w:rsid w:val="00F34636"/>
    <w:rsid w:val="00F35BD4"/>
    <w:rsid w:val="00F4089C"/>
    <w:rsid w:val="00F50FB2"/>
    <w:rsid w:val="00F52D50"/>
    <w:rsid w:val="00F53230"/>
    <w:rsid w:val="00F53AE9"/>
    <w:rsid w:val="00F543D5"/>
    <w:rsid w:val="00F600E0"/>
    <w:rsid w:val="00F6083C"/>
    <w:rsid w:val="00F6298C"/>
    <w:rsid w:val="00F654A5"/>
    <w:rsid w:val="00F74EB8"/>
    <w:rsid w:val="00F75243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5317"/>
    <w:rsid w:val="00FE35AA"/>
    <w:rsid w:val="00FE66B9"/>
    <w:rsid w:val="00FE67B4"/>
    <w:rsid w:val="00FE7D8F"/>
    <w:rsid w:val="00FF11AA"/>
    <w:rsid w:val="00FF77A6"/>
    <w:rsid w:val="00FF7A2F"/>
    <w:rsid w:val="00FF7CB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A0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uiPriority w:val="99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097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emf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package" Target="embeddings/Microsoft_Visio_Drawing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emf"/><Relationship Id="rId48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27F5BB2-FEB1-4F3B-96AA-2BF80FB7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2018-08-09T16:42:00Z</dcterms:created>
  <dcterms:modified xsi:type="dcterms:W3CDTF">2018-08-09T17:14:00Z</dcterms:modified>
</cp:coreProperties>
</file>